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24.04.2019, оставленным без изменения постановлением Девятого арбитражного апелляционного суда от 26.06.2019 и постановлением Арбитражного суда Московского округа от 07.11.2019, исковые требования удовлетворены. В кассационной жалобе компания просит о пересмотре судебных актов, ссылаясь на неправомерное нерассмотрение судом ее ходатайства о применении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о применении исковой давности мотивированно отклонено судом первой инстанции с предварительным соблюдением процессуальных прав компании на подтверждение того, что оно исходит от правомочного лица, не представленных в положенные сроки. Оснований для изменения последствий несовершения процессуальных действий в положенный срок на стадии кассационного пересмотра судебных актов не имеется. Доводов по существу правоотношений кассационная жалоба не содержит.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Concord Steel General Trading FZC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РУСАТОМСТРОЙ-МЕНЕДЖМЕНТ (подробнее) Ответчики: CONCORD STEEL GENERAL NRADING FZS (подробнее) CONCORD STEEL GENERAL TRADING FZC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