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Настоящая кассационная жалоба направлена заявителем в Верховный Суд Российской Федерации 17.02.2020, то есть по истечении как двухмесячного процессуального срока на обжалование последнего судебного акта, принятого по существу спора, так и пресекательного шестимесячного срока, в пределах которого срок подачи кассационной жалобы может быть восстановлен. Нарушение порядка подачи первоначальной кассационной жалобы, его последующее устранение само по себе не является уважительной причиной пропуска срока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Обстоятельств, препятствующих заявителю обратиться в Верховный Суд Российской Федерации с кассационной жалобой в разумный срок в период с 22.11.2019 (момент опубликования на информационном ресурсе Картотека арбитражных дел определения суда округа от 21.11.2019 о прекращении производства по кассационной жалобе, когда заявителю доподлинно стало известно об отсутствии оснований для рассмотрения жалобы в суде округа) в установленном процессуальном законодательством порядке, в настоящем ходатайстве не приведено. При этом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Жалоба на определение Арбитражного суда Уральского округа от 21.11.2019 о прекращении производства по кассационной жалобе подлежит оставлению без рассмотрения, поскольку не было обжаловано в порядке статьи 291 Арбитражного процессуального кодекса Российской Федерации. При изложенных обстоятельствах жалоба в этой части подлежит возвращению без рассмотрения по существу.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«Башкирские распределительные электрические сети»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ООО "Башкирские распределительные электрические сети" (подробнее) Ответчики: УФАС РФ ПО РБ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