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14.02.2019, оставленным без изменения постановлением Первого арбитражного 2 апелляционного суда от 26.06.2019, в удовлетворении заявленных требований отказано. Постановлением Арбитражного суда Волго-Вятского округа от 28.10.2019 указанные судебные акты оставлены без изменения. В кассационной жалобе, поступившей в Верховный Суд Российской Федерации, медицинское учреждение просит отменить обжалуемые судебные акты, ссылаясь на допущенные, по его мнению, нарушения норм материального и процессуального права в указанной части.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выявив по результатам проведенной реэкспертизы в 40 случаях нарушение в оказании медицинской помощи, соответствующее коду 4.6.1 «Некорректное применение тарифа, требующее его замены по результатам экспертизы», фондом вынесено оспариваемое решение, в котором изложены выводы проведенной реэкспертизы, а также необходимость применить к медицинской организации финансовые санкции в размере 251 251,95 рублей. Оценив представленные доказательства и установив факт некорректного применения тарифа при формировании оплаты за оказанную медицинскую помощь в рамках ОМС, руководствуясь положениями Федерального закона от 29.11.2010 № 326-ФЗ «Об обязательном медицинском страховании», Порядка организации и проведения контроля объемов, сроков, качества и условий предоставления медицинской помощи по обязательному медицинскому страхованию, утвержденного приказом Федерального Фонда обязательного медицинского страхования от 01.12.2010 № 230, суды отказали в удовлетворении заявленных требований. Медицинская организация в жалобе не оспаривает, что финансовая санкция является разницей в стоимости тарифа, предъявленного ею к оплате, и 3 стоимости тарифа, который применил фонд по совокупности спорных случаев, т.н. оказанная медицинская помощь оплачена с учетом «замены» тарифа. При этом обстоятельства фактически оказанной медицинской помощи и затратоемкость лечения пациента были предметом исследования судов трех инстанций и получили исчерпывающую правовую оценку в обжалуемых судебных актах, не согласиться с которой оснований не имеется исходя из компетенции Верховного Суда Российской Федерации. Доводы жалобы связаны с переоценкой доказательств и установлением иных обстоятельств, что в силу статьи 291.6 Арбитражного процессуального кодекса Российской Федерации не может являться основанием для пересмотра оспариваемых судебных актов в кассационном порядке. Учитывая изложенное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