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06.06.2019, оставленным без изменения постановлением Девятого арбитражного апелляционного суда от 26.08.2019, в удовлетворении заявленного требования отказано. Постановлением Арбитражного суда Московского округа от 08.11.2019 указанные судебные акты оставлены без изменения. 2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налога на добавленную стоимость, налога на прибыль, послужили выводы налогового органа о неправомерном включении обществом в состав расходов по налогу на прибыль организаций затрат и отнесения в налоговые вычеты суммы налога на добавленную стоимость по документам, оформленным от имени контрагентов ООО «Роксолан», ООО «ТрейдИнвест», ООО «Наяда», ООО «Ориент». Отказывая в удовлетворении требования и признавая обоснованными выводы налогового органа, суды руководствовались положениями статей 169, 171, 172, 252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3 При этом суды исходили из того, что налогоплательщиком создан формальный документооборот, установлена недостоверность и противоречия в представленных документах. В отсутствие жалобы ООО «Еврокос Холдинг» на нарушение его прав и законных интересов обжалуемыми судебными актами ссылка на непривлечение указанного лица к участию в деле сама по себе не может свидетельствовать о допущенных судами процессуальных нарушениях и служить основанием для отмены судебных актов, поскольку выводы судов сделаны только о правах и обязанностях общества с учетом задач и целей налогового администрирования. Доказательств того, что непривлечение к участию в деле указанного лица привело или могло привести к принятию неправильного решения, не приведено. Приведенные в жалобе доводы о том, что протоколы допроса свидетелей, представленные налоговым органом, являются ненадлежащим доказательством, сами по себе не могут служить основанием для отмены судебных актов, поскольку указанные протоколы подлежали оценке наряду с иными доказательствами с учетом требований статьи 71 Арбитражного процессуального кодекса Российской Федерации.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