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«Дизель-Маркет» (далее – общество) обратилось в суд с заявлением о включении в реестр требований кредиторов должника основного долга в размере 510 550 рублей и процентов за пользование чужими денежными средствами в размере 97 512 рублей 18 копеек. Определением Арбитражного суда Республики Татарстан от 05.04.2019 в удовлетворении заявления отказано. Постановлением Одиннадцатого арбитражного апелляционного суда от 16.07.2019, оставленным без изменения постановлением Арбитражного суда Поволжского округа от 21.10.2019,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обществу отказано в удовлетворении заявленных требований.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71, 100, 142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указал на отсутствие оснований для удовлетворения требования, поскольку перечисление денежных средств не имело для общества как заинтересованного с должником лица какой-либо экономической целесообразности, а доказательств, опровергающих разумные сомнения в оформлении сторонами правоотношений с целью формирования подконтрольной кредиторской задолженности, не представлено.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Хрулёву Ивану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