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11.04.2019, оставленным без изменения постановлением Шестого арбитражного апелляционного суда от 29.07.2019 и постановлением Арбитражного суда Дальневосточного округа от 11.12.2019, первоначальные исковые требования удовлетворены, в удовлетворении встречных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Амурской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установившее объемы и стоимость выполненных компанией работ в рамках заключенных сторонами договоров, учитывая произведенную обществом частичную оплату выполненных работ, а также отсутствие доказательств переплаты им стоимости работ, руководствуясь статьями 309 , 310 , 317.1 , 330 , 395 , 702 , 711 , 746 , 753 Гражданского кодекса Российской Федерации, пришли к выводу о наличии оснований для удовлетворения первоначальных исковых требований и отказа в удовлетворении встречного иска.С указанными выводами впоследствии согласился суд округа. Доводы заявителя о несогласии с экспертным заключением, необходимости проведения повторной судебной экспертизы рассмотрены судами и оценены.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 Технология»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"Стройподрядчик" (подробнее) Ответчики: ООО "С Технология" (подробнее) Иные лица: АК с ОО источника энергии "Мэн Лань СинХэ" (подробнее) ЗАО "АмурТИСИз" (подробнее) Кэйхэская компания торгово-промышленного развития "Сириус" (подробнее) Межрайонная ИФНС России №1 по Амурской области (подробнее) ОАО Амургражданпроект " (подробнее) ООО Акционерная компания источника энергии "М\н Лань СинХэ" (подробнее) ООО "АС Компания" (подробнее) ООО "Бизнес-центр "Ресфин" (подробнее) ООО "Промстройпроект" (подробнее) Хэйхеэйская компания ТПР "Сириус"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