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03.04.2019, оставленным без изменения постановлением Девятого арбитражного апелляционного суда от 06.08.2019 и постановлением Арбитражного суда Московского округа от 27.11.2019, исковые требования удовлетворены. В кассационной жалобе, поданной в Верховный Суд Российской Федерации, учреждение, ссылаясь на нарушение судами норм материального права, просит отменить указанные судебные акты и принять новый судебный акт об отказе в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330 , 779 , 781 Гражданского кодекса Российской Федерации, пришли к выводу о наличии оснований для удовлетворения исковых требований. В частности, суды исходили из отсутствия в материалах дела доказательств, подтверждающих ненадлежащее исполнение обществом (исполнителем) обязательств по договору от 30.06.2017 № 2017/ПИТАНИЕ-0295 и наличие у учреждения (заказчика) оснований для применения штрафных санкций и удержания их из стоимости оказанных услуг. С указанными выводами впоследствии согласился суд округа. Доводы кассационной жалобы не опровергают выводы судов, направлены на переоценку установленных судами обстоятельств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бюджетного общеобразовательного учреждения города Москвы «Школа «Свиблово»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"МОСКОВСКИЙ ШКОЛЬНИК" (подробнее) Ответчики: ГОСУДАРСТВЕННОЕ БЮДЖЕТНОЕ ОБЩЕОБРАЗОВАТЕЛЬНОЕ УЧРЕЖДЕНИЕ ГОРОДА МОСКВЫ "ШКОЛА "СВИБЛОВО"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