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01.03.2019, оставленным без изменения постановлением Девятого арбитражного апелляционного суда от 28.06.2019 и постановлением Арбитражного суда Московского округа от 28.10.2019,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обжалуемых судебных актов, требования общества (подрядчика) мотивированы ненадлежащим исполнением компанией (генподрядчиком) обязательств по оплате работ, выполненных подрядчиком в рамках договора от 22.07.2015 № Д-7 на выполнение строительно-монтажных работ.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702 , 711 , 720 , 746 , 753 Гражданского кодекса Российской Федерации, пришли к выводу об отсутствии оснований для удовлетворения исковых требований, исходя из неподтвержденности истцом факта выполнения спорных работ. С указанными выводами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кассационной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«Спецмонолитстрой-19»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"КАПСТРОЙТЕХНОЛОДЖИ" (подробнее) ОАО "Вертикаль" (подробнее) ООО "СПЕЦМОНОЛИТСТРОЙ-19" (подробнее) Ответчики: АО "МОСПРОМСТРОЙИНЖИНИРИНГ" (подробнее) Иные лица: ООО в-у "СМС-19" Краснов С.Н.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