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29.03.2019, оставленным без изменения постановлением Девятого арбитражного апелляционного суда от 17.06.2019 и постановлением Арбитражного суда Московского округа от 15.11.2019, заявление общества о взыскании 885 750 рублей 20 копеек судебных расходов удовлетворено на сумму в 400 000 рублей. В кассационной жалобе общество просит о пересмотре судебных актов вследствие неосновательного уменьшения расходов.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Рассматривая заявление о судебных расходах, суды руководствовались постановлением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нормами статей 101 , 106 , 110 Арбитражного процессуального кодекса Российской Федерации, характером спора и обстоятельствами его рассмотрения. Суды проверили соответствие заявленных судебных расходов критериям разумности и обоснованности, определенным законом и судебной практикой, и установили разумную и обоснованную сумму затрат общества на ведение дела во взысканном размере. Иная оценка обоснованности расходов, изложенная в рассматриваемой жалобе,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«Офис Регион»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офис Регион (подробнее) Иные лица: АНО " Эксперт Консалт Центр" (подробнее) АО с 2к (подробнее) ЗАО "МЭФ-Аудит" (подробнее) НП "Сообщество специалистов-оценщиков "СМАО" (подробнее) ООО "Леонов и Компания" (подробнее) ПАО Банк "ФК Открытие"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