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19.04.2019, оставленным без изменения постановлением Седьмого арбитражного апелляционного суда от 16.07.2019 и постановлением Арбитражного суда Западно-Сибирского округа от 30.10.2019, иск удовлетворен в связи с недоказанностью оказания услуг на спорную сумму. В кассационной жалобе предприниматель просит об отмене судебных актов как нарушающих нормы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доказательств оказания предпринимателем (исполнителем) услуг по договору от 13.07.2017 № 13/07/2017 и оснований для удержания предварительно полученной за них суммы, поэтому удовлетворили иск в соответствии с обстоятельствами исполнения договора и статьями 330 , 395 , 779 , 782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"ГК ЮНИКОМ" (подробнее) Ответчики: ИП Клецын Дмитрий Александрович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