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«Стинс Коман Интегрированные Решения» (далее – Общество) обратилось в Арбитражный суд Московской области с иском к обществу с ограниченной ответственностью «МОС (Торговля и Недвижимость)» (далее – Компания) о взыскании 14 234 115 рублей 45 копеек убытков. Решением Арбитражного суда Московской области от 27.06.2019, оставленным без изменения постановлением Десятого арбитражного апелляционного суда от 16.08.2019 и постановлением Арбитражного суда Московского округа от 11.11.2019,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неправомерность применения к спорным правоотношениям положений статьи 715 Гражданского кодекса Российской Федерации (далее – Гражданский кодекс), отмечая, что заключенные договоры подряда не предусматривали поэтапную приемку работ, в связи с чем Компания неправомерно расторгла их по мотиву нарушения сроков производства этапов.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(генподрядчик) и Компания (заказчик) заключили договоры строительного подряда от 01.10.2014 № SHC516-N-2244-2014/38/2-1 и от 22.12.2014 № SHC510-N-2850-2014/43/2- 14СКИР. Ссылаясь на то, что в процессе исполнения расторгнутых впоследствии по инициативе Компании договоров были понесены расходы на страхование и предоставление банковских гарантий, которые квалифицированы как убытки,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328 , 393 , 401 , 708 , 715 Гражданского кодекса 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заявленных требований, придя к мотивированному выводу, что причиной отказа Компании от исполнения договоров являлось существенное нарушение сроков выполнения работ Обществом. Договоры подряда расторгнуты по основаниям пункта 2 статьи 715 Гражданского кодекса, а не по основаниям ,установленным статьей 717 Гражданского кодекса, в связи с чем положения последней приведенной нормы права, предусматривающей обязанность заказчика возместить подрядчику убытки, причиненные прекращением договора подряда, в данном случае не применимы.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конкурсного управляющего закрытым акционерным обществом «Стинс Коман Интегрированные Решения»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"СТИНС КОМАН ИНТЕГРИРОВАННЫЕ РЕШЕНИЯ" (подробнее) ПАО АКБ "Абсолют Банк" (подробнее) Ответчики: ООО "МОС ТОРГОВЛЯ И НЕДВИЖИМОСТЬ" (подробнее) Иные лица: АКБ "Абсолют Банк"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