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29.04.2019, оставленным без изменения постановлением Девятого арбитражного апелляционного суда от 03.09.2019, в удовлетворении иска отказано. Арбитражный суд Московского округа постановлением от 04.12.2019 решение от 29.04.2019 и постановление Девятого арбитражного апелляционного суда от 03.09.2019 оставил без изменения. В кассационной жалобе общество «Каркаде» просит об отмене указанных судебных актов вследствие неверного толкования судами условий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пункту 1 статьи 929 и подпункту 2 пункта 1 статьи 942 Гражданского кодекса Российской Федерации страховым случаем является событие, о характере которого стороны достигли соглашения. Суды установили, что договор страхования заключен посредством выдачи полиса на условиях действующих у страховщика правил страхования. Заявленное событие признано не обладающим признаками страхового случая применительно к согласованным сторонами условиям страхования. Иное толкование заявителем названных условий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«Каркаде»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"Каркаде" (подробнее) Ответчики: АО "АльфаСтрахование"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