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12.04.2019, оставленным без изменения постановлением Девятнадцатого арбитражного апелляционного суда от 05.07.2019, в удовлетворении иска отказано вследствие предъявления требования ненадлежащему лицу. Арбитражный суд Центрального округа постановлением от 14.11.2019 решение от 12.04.2019 и постановление Девятнадцатого арбитражного апелляционного суда от 05.07.2019 оставил без изменения. В кассационной жалобе общество просит об отмене судебных актов, ссылаясь на неосновательный отказ в удовлетворении ходатайств, направленных на установление характера правоотношений между ответчиком и причинившим вред лицом.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между предпринимателем и причинившим вред лицом существовали правоотношения, основанные на договоре аренды транспортного средства, при использовании которого причинен вред. Использование транспортного средства на законном основании, каковым является аренда, исключает ответственность собственника в силу статьи 1079 Гражданского кодекса Российской Федерации. В указанной ситуации у судов не было оснований для удовлетворения ходатайств, направленных на выяснение правоотношений между ответчиком и причинивши вред лицом.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«Авто-Ойл»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ТК "АВТО - ОЙЛ" (подробнее) Судьи дела: Ксенофонтова Н.А. (судья) (подробнее) Судебная практика по: Источник повышенной опасности Судебная практика по применению нормы ст. 1079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