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Тульской области от 14.03.2019, оставленным без изменения постановлением Двадцатого арбитражного апелляционного суда от 09.07.2019 и постановлением Арбитражного суда Центрального округа от 22.10.2019, иск удовлетворен. В кассационной жалобе общество «База СВ» просит о пересмотре судебных актов, ссылаясь на отсутствие неосновательного обогащения и нарушение норм процессуального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Руководствуясь статьей 1102 Гражданского кодекса Российской Федерации и судебной практикой рассмотрения подобных споров, суд правомерно удовлетворил иск, установив получение и удержание ответчиком не предназначавшегося в силу закона либо договора дизельного топлива. Действия суда первой инстанции, которые заявитель считает процессуальными нарушениями, таковыми не являются, на что правильно указали апелляционный и окружной суды.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«База СВ»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"Агреман" (подробнее) Ответчики: ООО "БАЗА СВ" (подробнее) Судьи дела: Ксенофонтова Н.А.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