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10.04.2019, оставленным без изменения постановлением Девятого арбитражного апелляционного суда от 25.07.2019 и постановлением Арбитражного суда Московского округа от 01.11.2019,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предложения уплатить налог на доходы иностранных организаций в размере 84 379 633 рублей и соответствующую сумму пени, требование в указанной части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в отношении общества проведена выездная налоговая проверка по вопросам правильности исчисления и своевременности уплаты (удержания, перечисления) всех налогов и сборов за период с 01.01.2011 по 31.12.2013. По результатам проверки вынесено решение, которым обществу предложено, в том числе уплатить налог на доходы иностранных юридических лиц в размере 168 907 049 рублей и соответствующую сумму пени. Основанием для начисления налога и пеней послужил вывод налогового органа о неправомерном неисчислении и неудержании обществом налога по ставке 20 процентов с процентного дохода, выплаченного VTB Bank (Austria) AG и East West United Bank S.A. (далее – банки). Считая решение инспекции в указанной части незаконным, общество обратилось в арбитражный суд. Оценив представленные в материалы дела доказательства, суды установили, что банки размещали свои средства в обществе за счет денежных средств, привлеченных у акционера общества – АО «Казкоммерцбанк» на сопоставимых условиях и с гарантией на случай невозврата средств обществом. Суммы займа в составе собственных операций банками не учитывались и превышали их кредитные риски; выплаченные обществом проценты по займам практически в полном объеме перечислялись банками в АО «Казкоммерцбанк». Таким образом, банки выполняли лишь посреднические функции и фактическими получателями выплаченного обществом по долговым обязательствам процентного дохода не являлись. Учитывая установленные обстоятельства, судебные инстанции, руководствуясь положениями статей 24 , 246 , 247 , 310 Налогового кодекса Российской Федерации, пришли к выводу о наличии у инспекции правовых оснований для принятия решения в оспоренной части. Доводы, изложенные в кассационной жалобе, сводятся к необходимости применения к рассматриваемым правоотношениям Конвенции между Правительством Российской Федерации и Правительством Австрийской Республики от 13.04.2000 «Об избежании двойного налогообложения в отношении налогов на доходы и капитал», Соглашения между Российской Федерацией и Великим Герцогством Люксембург об избежании двойного налогообложения и предотвращении уклонения от налогообложения в отношении налогов на доходы и имущество от 28.06.1993 либо Конвенции между Правительством Российской Федерации и Правительством Республики Казахстан от 18.10.1996 «Об устранении двойного налогообложения и предотвращении уклонения от уплаты налогов на доход и капитал». Приведенные доводы являлись предметом рассмотрения судов, получили правовую оценку и с учетом установленных фактических обстоятельств не подтверждают существенных нарушений норм материального и процессуального права, повлиявших на исход дела. По существу доводы жалобы сводятся к несогласию заявителя с установленными судами фактическими обстоятельствами дела и основаны на ином применении к ним положений законодательства, что в силу статьи 291.6 Арбитражного процессуального кодекса Российской Федерации не является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Коммерческому банку «МОСКОММЕРЦБАНК» (Акционерное общество)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КБ "Москоммерцбанк" (подробнее) Ответчики: МИФНС №50 по г. Москве (подробнее) ФНС России МИ по крупнейшим налогоплательщикам №9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