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11.06.2019, оставленным без изменения постановлением Восемнадцатого арбитражного апелляционного суда от 02.09.2019 и постановлением Арбитражного суда Уральского округа от 05.12.2019, заявленные требования удовлетворены. В кассационной жалобе, поданной в Верховный Суд Российской Федерации, ООО «Металекс», ссылаясь на существенное нарушение норм права, просит судебные акты отменить и в удовлетворении требований отказать.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управления общество признано нарушившим пункт 10 части 1 статьи 10 Федерального закона от 26.07.2006 № 135-ФЗ «О защите конкуренции» (далее – Закон о защите конкуренции), что выразилось в нарушении установленного нормативными правовыми актами порядка ценообразования более чем в два раза от установленного для него тарифа. В целях устранения нарушения выдано предписание о прекращении выставления в адрес ООО «Металекс» счетов с включением отдельной стоимости за осуществление перевода стрелок, подгруппировки вагонов, закрепление вагонов (расстановку тормозных башмаков). Считая ненормативные акты антимонопольного органа незаконными, общество обратилось в арбитражный суд. Оценив представленные в материалы дела доказательства, суды, руководствуясь положениями статьи 4 Федерального закона от 17.08.1995 № 147 «О естественных монополиях», статей 4, 5, 10 Закона о защите конкуренции, статей 2, 10, 58 Федерального закона от 10.01.2003 № 18-ФЗ «Устав железнодорожного транспорта Российской Федерации», статьи 8 Федерального закона от 10.01.2003 № 17-ФЗ «О железнодорожном транспорте», статьи 421 Гражданского кодекса Российской Федерации, пришли к выводу об отсутствии у управления правовых оснований для принятия оспоренных решения и предписания. Судебные инстанции исходили из того, что общество, осуществляя маневровую работу локомотива и перевозку груза на принадлежащих ему путях необщего пользования, также оказывало дополнительные услуги по переводу стрелок, подгруппировке вагонов, закреплению тормозных башмаков на путях необщего пользования, принадлежащих иным лицам, которые не подлежат тарифному регулированию и устанавливаются на договорной основе. При таких обстоятельствах, установление обществом платы за дополнительные услуги, оказываемые на путях иных лиц, в том числе по тарифам ОАО «РЖД», соответствует гражданскому законодательству и не нарушает требования Закона о защите конкуренции. Доводы, изложенные в кассационной жалобе, повторяют позицию ООО «Металекс» по спору, являлись предметом рассмотрения судов и получили правовую оценку, с учетом установленных обстоятельств дела не свидетельствуют о нарушении норм права, повлиявших на исход дела. Несогласие общества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«Металекс»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ОАО "Новотроицкое предприятие промышленного железнодорожного транспорта" (подробнее) Ответчики: Управление Федеральной антимонопольной службы по Оренбургской области (подробнее) Иные лица: Октябрьский районный суд г. Орска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