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24.05.2019, оставленным без изменения постановлением Десятого арбитражного апелляционного суда от 24.07.2019 и постановлением Арбитражного суда Московского округа от 15.11.2019, производство по требованию о взыскании задолженности прекращено в связи с отказом от него учреждения, требование о взыскании неустойки удовлетворено. В кассационной жалобе учреждение просит о пересмотре судебных актов, ссылаясь на наличие основания для освобождения от ответственности за просрочку оплаты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309 , 310 , 330 Гражданского кодекса Российской Федерации, суды удовлетворили иск по установленным фактам поставки обществом товара в рамках государственного контракта от 24.12.2018 № 0348200081018000449 и нарушения сроков его оплаты учреждением. Довод учреждения об образовании просрочки оплаты товара вследствие отсутствия бюджетного финансирования в качестве основания для освобождения от ответственности противоречит статье 401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"МЕДИА СЕРВИС АБВ" (подробнее) Ответчики: ГОСУДАРСТВЕННОЕ КАЗЕННОЕ УЧРЕЖДЕНИЕ МОСКОВСКОЙ ОБЛАСТИ "ДИРЕКЦИЯ ЕДИНОГО ЗАКАЗЧИКА МИНИСТЕРСТВА ЗДРАВООХРАНЕНИЯ МОСКОВСКОЙ ОБЛАСТИ"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