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25.04.2019, оставленным без изменения постановлением Десятого арбитражного апелляционного суда от 10.07.2019 и постановлением Арбитражного суда Московского округа от 14.11.2019, исковые требования удовлетворены частично. В кассационной жалобе учреждение просит о пересмотре судебных актов, ссылаясь на наличие основания для освобождения от ответственности за просрочку оплаты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309 , 310 , 333 , 330 , 525 , 526 Гражданского кодекса Российской Федерации, суды по установленным фактам поставки обществом товара в рамках государственного контракта от 09.07.2018 № 0348200081018000161 и неоплаты его учреждением удовлетворили иск частично, приняв контррасчет ответчика. Довод учреждения об образовании просрочки оплаты товара вследствие отсутствия бюджетного финансирования в качестве основания для освобождения от ответственности противоречит статье 401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"МЕДИА СЕРВИС АБВ" (подробнее) Ответчики: ГОСУДАРСТВЕННОЕ КАЗЕННОЕ УЧРЕЖДЕНИЕ МОСКОВСКОЙ ОБЛАСТИ "ДИРЕКЦИЯ ЕДИНОГО ЗАКАЗЧИКА МИНИСТЕРСТВА ЗДРАВООХРАНЕНИЯ МОСКОВСКОЙ ОБЛАСТИ"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