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30.04.2019, оставленным без изменения постановлением Десятого арбитражного апелляционного суда от 08.07.2019 и постановлением Арбитражного суда Московского округа от 14.11.2019, исковые требования удовлетворены. В кассационной жалобе учреждение просит о пересмотре судебных актов, ссылаясь на наличие основания для освобождения от ответственности за просрочку оплаты товара.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309 , 310 , 330 , 525 , 526 Гражданского кодекса Российской Федерации, суды удовлетворили иск по установленным фактам поставки обществом товара в рамках государственного контракта от 24.12.2018 № 0348200081018000444 и неоплаты его учреждением. Довод учреждения об образовании просрочки оплаты товара вследствие отсутствия бюджетного финансирования в качестве основания для освобождения от ответственности противоречит статье 401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Московской области «Дирекция единого заказчика Министерства здравоохранения Московской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"МЕДИА СЕРВИС АБВ" (подробнее) Ответчики: ГОСУДАРСТВЕННОЕ КАЗЕННОЕ УЧРЕЖДЕНИЕ МОСКОВСКОЙ ОБЛАСТИ "ДИРЕКЦИЯ ЕДИНОГО ЗАКАЗЧИКА МИНИСТЕРСТВА ЗДРАВООХРАНЕНИЯ МОСКОВСКОЙ ОБЛАСТИ" (подробнее) государственное казеное учреждение Московской области Дирекция единого заказчика Министерство здравоохранения Московской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