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29.05.2019, оставленным без изменения постановлением Четырнадцатого арбитражного апелляционного суда от 22.08.2019 и постановлением Арбитражного суда Северо-Западного округа от 21.11.2019, в удовлетворении иска отказано. В кассационной жалобе общество «Респект» просит об отмене указанных судебных актов, ссылаясь на безвозмездность соглашения как основание для признания его ничтожным.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5 статьи 166 Гражданского кодекса Российской Федерации заявление о недействительности сделки не имеет правового значения если поведение ссылающегося на недействительность лица после заключения сделки давало основание полагаться на действительность сделки. Установленное судами полное исполнение ответчиком условий спорного соглашения и принятие истцом указанного исполнения правомерно учтены судами в качестве обстоятельств, создающих условие для отказа в иске.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«Респект»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"РЕСПЕКТ" (подробнее) Ответчики: ООО "Ритм-2000"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