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Московского округа от 08.11.2019 оставлено без изменения определение того же суда от 10.10.2019 о возвращении кассационной жалобы общества «Керамос-Сталь» как поданной за пределами срока на обжалование, в восстановлении которого отказано. В кассационной жалобе общество «Керамос-Сталь» просит отменить определение от 08.11.2019 как принятое с нарушением процессуальных норм.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суд, оценив приведенные причины пропуска срока на подачу кассационной жалобы, установил отсутствие объективно препятствовавших для своевременной подачи жалобы обстоятельств.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«Керамос-Сталь»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"Партнер Инвест" (подробнее) Ответчики: ООО "КЕРАМОС-СТАЛЬ"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