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28.08.2019 исковое заявление в отношении общества «БФ Танкер» оставлено без рассмотрения. Постановлением Девятого арбитражного апелляционного суда от 09.10.2019, оставленным без изменения постановлением Арбитражного суда Московского округа от 04.12.2019, определение от 28.08.2019 отменено, в удовлетворении ходатайства об оставлении заявления без рассмотрения отказано. В кассационной жалобе общество «БФ Танкер» просит о пересмотре судебных актов апелляционного и окружного судов, ссылаясь на нарушение его 2 как фактического перевозчика права на возврат претензии без рассмотрения и мирное урегулирование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правильно руководствовался определенными истцом предметом и основаниями заявленного к обществу «БФ Танкер» иску и отнес его в силу абзаца 4 части 5 статьи 4 Арбитражного процессуального кодекса Российской Федерации к не подлежащему обязательному досудебному урегулированию. Доводы жалобы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«БФ Танкер»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