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Рязанской области от 15.02.2019, оставленным без изменения постановлением Двадцатого арбитражного апелляционного суда от 25.06.2019, оспариваемое решение признано недействительным в части доначисления 618 912 рублей налога на прибыль, 187 356,3 рублей пеней, 246 934,69 рублей штрафа; 1921,45 рублей налога на добавленную стоимость, 506,58 рублей пеней и 353,05 рублей штрафа, в остальной части в удовлетворении требований отказано. Постановлением Арбитражного суда Центрального округа от 21.10.2019 указанные судебные акты оставлены без изменения. В кассационной жалобе, поступившей в Верховный Суд Российской Федерации, общество просит отменить принятые по делу судебные акты в части отказа в удовлетворении требований, считая их незаконными и необоснованными в указанной части.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требования, суды руководствовались положениями статей 169, 170, 171, 172, 252 Налогового кодекса Российской Федерации, а также исходили из правовой позиции, изложенной в 3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выгоды». При этом суды признали, что подрядные работы контрагентами ООО «СтройИнвест», ООО «Виста» и ООО «Цитадель» не осуществлялись, данные контрагенты искусственно посредством формального документооборота, введены в систему договорных отношений в целях получения необоснованной налоговой выгоды.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Согласно части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инстанции, если лицо, подавшее кассационные жалобу, представление,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Поскольку в передаче жалобы для рассмотрения в судебном заседании Судебной коллегии Верховного Суда Российской Федерации отказано, оснований для удовлетворения указанного ходатайства не имеется.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