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12.07.2019, оставленным без изменения постановлением Девятнадцатого арбитражного апелляционного суда от 16.09.2019,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и ему назначено наказание в виде предупреждения. Постановлением Арбитражного суда Центрального округа от 27.11.2019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что подлежащие обязательному опубликованию сведения в ходе процедур, применяемых в деле о банкротстве гражданина, опубликованы с нарушением сроков, установленных пунктами 1, 2 статьи 213.7, пункта 1 статьи 28, пункта 1 статьи 128 Федерального закона от 26.10.2002 № 127-ФЗ «О несостоятельности (банкротстве)», пункта 3.1 Приказа Министерства экономического развития Российской Федерации от 05.04.2013 № 178 «Об утверждении Порядка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и Перечня сведений, подлежащих включению в Единый федеральный реестр сведений о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суды пришли к выводу о наличии в действиях арбитражного управляющего события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виде предупреждения. Доводы жалобы о неправомерном неприменении судами статьи 2.9 Кодекса Российской Федерации об административных правонарушениях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Росреестра по Воронежской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