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12.04.2019, оставленным без изменения постановлением Девятого арбитражного апелляционного суда от 23.07.2019, в удовлетворении требований отказано. Постановлением Арбитражного суда Московского округа от 11.11.2019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в целях пресечения выявленного правонарушения, ответственность за совершение которого предусмотрена частью 2 статьи 11.14.2 Кодекса Российской Федерации об административных правонарушениях, в качестве меры обеспечения производства по делу об административном правонарушении, административным органом применен административный арест принадлежащего обществу транспортного средства. В дальнейшем общество привлечено к административной ответственности по части 2 статьи 11.14.2 Кодекса Российской Федерации об административных правонарушениях, транспортное средство возвращено законному владельцу. При рассмотрении спора суды исходили из того, что действия административного органа по наложению ареста на транспортное средство совершены в соответствии с частью 1 статьи 27.1 и статьей 27.14 Кодекса Российской Федерации об административных правонарушениях, в целях пресечения административного правонарушения и указанная мера обеспечения соразмерна задачам производства по делу об административном правонарушении с учетом степени общественной опасности вменяемого деяния. Выводы суда округа соответствуют правовой позиции, изложенной в определении Верховного Суда Российской Федерации от 13.09.2019 № 310-ЭС19-6050. Несогласие общества с толкованием судебными инстанциями норм Кодекса Российской Федерации об административных правонарушениях и законодательства, подлежащих применению к спорным правоотношениям,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сами по себе не является основанием для пересмотра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Родные просторы (подробнее) Ответчики: Центральное межрегиональное управление государственного автодорожного надзора Федеральной службы по надзору в сфере транспорта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