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14.11.2019 первоначальный иск удовлетворен частично, с общества в пользу компании взыскано 115 000 руб. аванса, 2269 руб. 85 коп. расходов по уплате государственной пошлины, в удовлетворении остальной части требования и в удовлетворении встречного иска отказано. С компании в пользу общества взыскано 77 677 руб. 91 коп. расходов по судебной экспертизе. Постановлением Девятнадцатого арбитражного апелляционного суда от 21.05.2019 решение суда первой инстанции изменено, с общества в пользу компании взыскано 75 000 руб. аванса, 1480 руб. 87 коп. расходов по уплате государственной пошлины за подачу иска, в удовлетворении остальной части первоначального иска отказано. С компании в пользу общества взыскано 80 000 руб. задолженности, 2971 руб. 28 коп. расходов по уплате 2 государственной пошлины за подачу встречного иска и 64 396 руб. расходов по оплате судебной экспертизы, в удовлетворении остальной части встречного иска отказано. В результате зачета удовлетворенных требований с компании в пользу общества взыскано 5000 руб. задолженности, 1490 руб. 41 коп. расходов по уплате государственной пошлины и 64 396 руб. расходов по оплате судебной экспертизы. Постановлением Арбитражного суда Центрального округа от 23.10.2019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Тамбовской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Изменяя решение суда первой инстанции, суд апелляционной инстанции, оценив по правилам статьи 71 Арбитражного процессуального кодекса Российской Федерации представленные в материалы дела доказательства, установил факт выполнения обществом части работ по договору до его расторжения компанией в одностороннем порядке, отсутствие мотивированных возражений последней относительно данных работ, а также доказательств наличия в них недостатков, как и доказательств невозможности использования результата работ. Исходя из того, что стоимость результата выполненных обществом работ (1 340 000 руб.) превышает сумму перечисленного компанией аванса (1 260 000 руб.), суд пришел к выводу о наличии у последней задолженности в размере 80 000 руб. Установив, что компания произвела авансирование в размере 75 000 руб. по заказам на проведение работ, которые сторонами не подписаны и не согласованы, суд пришел к выводу о наличии на стороне общества неосновательного обогащения в указанной сумме. При таких обстоятельствах, руководствуясь статьями 309, 310, 453, 702, 711, 720, 753, 1102 Гражданского кодекса Российской Федерации, суд частично удовлетворил первоначальный и встречный иски, с чем впоследствии согласился суд округа. 3 Доводы заявителя о том, что суд не проверил заявление о фальсификации доказательств, противоречит содержанию судебного акта.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приведено.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«Новая Инженерная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