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01.03.2019 исковые требования удовлетворены. Постановление Семнадцатого арбитражного апелляционного суда от 06.06.2019 решение суда первой инстанции отменено, исковые требования удовлетворены частично, с компании в пользу общества взыскано 1754 руб. неустойки, в удовлетворении остальной части требований отказано. Постановлением Арбитражного суда Уральского округа от 20.11.2019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450.1 , 740 , 753 , 1102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 в части взыскания неосвоенного аванса. В частности, суд исходил из того, что на момент отказа общества от исполнения договора от 25.04.2018 № 2 компания выполнила работы стоимостью, превышающей сумму требуемого к возврату аванса. С указанными выводами впоследствии согласился суд округа. Доводы кассационной жалобы сводятся к изложению обстоятельств дела, которые были предметом исследования и оценки суда. Несогласие заявителя с оценкой доказательств не является достаточным основанием для пересмотра судебных актов в кассационном порядке. Существенных нарушений норм материального и процессуального права, повлиявших на исход дела, указанные в кассационной жалобе доводы не подтверждают.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«Нефтекомплектсервис»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"МеталлКроника" (подробнее) ООО "НефтеКомплектСервис" (подробнее) Ответчики: ООО "Интер-СтройГрупп"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