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22.05.2019, оставленным без изменения постановлением Седьмого арбитражного апелляционного суда от 15.08.2019 и постановлением Арбитражного суда 2 Западно-Сибирского округа от 05.11.2019, с компании в пользу общества взыскано 2 452 889 руб. неосновательного обогащения, 185 629 руб. 93 коп. процентов за пользование чужими денежными средствами, 100 000 руб. неустойки, в удовлетворении остальной части первоначальных исковых требований и в удовлетворении встречного иска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в части удовлетворения первоначальных требований, отказа в удовлетворении встречного иска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обстоятельства, установленные вступившими в законную силу судебными актами по делу № А45-2009/2018, руководствуясь статьями 15, 330, 395, 721, 740, 753, 1102 Гражданского кодекса Российской Федерации, суды первой и апелляционной инстанций, с которыми впоследствии согласился суд округа, пришли к выводу о наличии оснований для частичного удовлетворения первоначальных исковых требований и отказа в удовлетворении встречного иска. В частности, суды исходили из подтвержденности факта получения компанией денежных средств в размере, превышающем стоимость фактически выполненных ею работ по договору, и недоказанности последней совокупности условий, необходимых для привлечения общества к ответственности в виде взыскания убытков. Доводы кассационной жалобы были предметом рассмотрения судов и получили правовую оценку, не опровергают выводы судов 3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Строительная компания «Ремстрой»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