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задолженности в размере 2 000 000 рублей. Определением Арбитражного суда города Москвы от 15.05.2019, оставленным без изменения постановлениями Девятого арбитражного апелляционного суда от 30.07.2019 и Арбитражного суда Московского округа от 28.10.2019,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пунктами 1 и 2 статьи 15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неподтвержденности возникновения на стороне заявителя убытков по вине должника, причинно-следственной связи между её поведением и наступившим ущербом, в связи с чем отказали в удовлетворении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