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28.02.2019 иск удовлетворен. Девятый арбитражный апелляционный суд постановлением от 15.08.2019, изменил решение от 28.02.2019, взыскав 225 997 433 рублей убытков и 235 000 рублей расходов на экспертизу. Арбитражный суд Московского округа постановлением от 12.11.2019 постановление Девятого арбитражного апелляционного суда от 15.08.2019 оставил без изменения. В кассационной жалобе общество «Антилед» просит об отмене судебных актов как незаконных, ссылаясь на наличие оснований для прекращения производства по делу, допущенную судами переоценку ранее установлены обстоятельств, неправильное определение стоимости утраченного имущества и необъективность проведенных по делу экспертиз.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рассмотрели и обоснованно отклонили довод заявителя о наличии основания для прекращения производства по делу применительно к статье 150 Арбитражного процессуального кодекса Российской Федерации, поскольку основания заявленных требований в настоящем деле и делах № А12-1319/2016 и № А12-4026/2017 различны. Суды признали доказанным наступление ответственности общества «Антилед» за повреждение принятого на хранение имущества по итогу исследования и оценки доказательств исполнения договора хранения от 04.10.2012 № 04-09/2012-ХР с дополнительными соглашениями, к которым правильно применили нормы статей 15, 393, 891, 899, 901 Гражданского кодекса Российской Федерации. Доводы заявителя о ненадлежащем исследовании представленных доказательств, в том числе заключений экспертиз, и несоответствии выводов судов обстоятельствам, установленным в рамках иных дел, противоречат содержанию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«Антилед»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