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27.03.2019, оставленным без изменения постановлением Девятого арбитражного апелляционного суда от 10.07.2019, исковые требования удовлетворены. Арбитражный суд Московского округа постановлением от 21.10.2019 решение от 27.03.2019 и постановление Девятого арбитражного апелляционного суда от 10.07.2019 оставил без изменения. В кассационной жалобе банк просит об отмене судебных актов, ссылаясь на подписание требований о платеже неуполномоченным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требованиям о платеже по банковским гарантиям от 13.02.2018 № 11Э-С-49496/18, от 15.02.2018 № 11Э-С-47709/18, от 13.03.2018 № 11Э-С-47793/18 истцом приложены требуемые документы, что в силу статей 375 и 376 Гражданского кодекса Российской Федерации не позволяло банку отказать в совершении платежа. Довод об отсутствии полномочий подписавшего требования лица опровергнут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Банк поддержки малого и среднего предпринимательства»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"Янтарьэнерго" (подробнее) Ответчики: АО "Российский Банк поддержки малого и среднего предпринимательства"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