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12.12.2018 иск удовлетворен. Постановлением Двадцать первого арбитражного апелляционного суда от 24.05.2019, оставленным без изменения постановлением Арбитражного суда Центрального округа от 18.10.2019, решение изменено: взыскано 474 166 рублей 17 копеек пеней. В кассационной жалобе предприятие просит об отмене судебных актов, ссылаясь на неправильное определение срока доставки груза, повлекшее увеличение пеней.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просрочку доставки груза исходя из квитанций о приеме груза, накладных, дорожных ведомостей, степени вины предприятия в просрочке и при взыскании пеней руководствовались статьями 784 , 785 , 792 Гражданского кодекса Российской Федерации, статьей 97 Федерального закона от 10.01.2003 № 18-ФЗ «Устав железнодорожного транспорта Российской Федерации». Из содержания указанных документов суды не установили подчинения спорных перевозок соглашению о применении Общих коммерческих условий, на наличии которого настаивало предприятие, поэтому мотивированно отклонили его возражения.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«Крымская железная дорога»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"КОМПАНИЯ КРЫМ ОЙЛ" (подробнее) Ответчики: ФГУП "КРЫМСКАЯ ЖЕЛЕЗНАЯ ДОРОГА"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