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18.02.2019, оставленным без изменения постановлением Двадцать первого арбитражного апелляционного суда от 15.07.2019, первоначальный иск удовлетворен, в удовлетворении встречного иска отказано. Постановлением Арбитражного суда Центрального округа от 21.11.2019 решение и постановление апелляционного суда отменены, дело направлено на новое рассмотрение в суд первой инстанции. В кассационной жалобе общество просит об отмене постановления суда округа как незаконного.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первой и апелляционной инстанций статуса предприятия и его правомочие на заключение договора, влияющие на итог рассмотрения дела, поэтому отменил их судебные акты в пределах предоставленных статьями 286 , 287 Арбитражного процессуального кодекса Российской Федерации полномочий.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«Промышленный тепловоз» в передаче кассационной жалобы для рассмотрения в судебном заседании Судебной коллегии по экономическим спора Верховного Суда Российской Федерации. Судья Верховного Суда Российской Федерации Н.А. Ксенофонтова Суд: Верховный Суд РФ (подробнее) Истцы: ЗАО "ПРОМЫШЛЕННЫЙ ТЕПЛОВОЗ" (подробнее) Министерство промышленной политики Республики Крым (подробнее) Ответчики: ГУП РЕСПУБЛИКИ КРЫМ "ФЕОДОСИЙСКИЙ СУДОМЕХАНИЧЕСКИЙ ЗАВОД" (подробнее) ООО "Спецдизельстрой"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