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«РесурсИнвест» (далее – общество) обратилось в суд с заявлением о признании за ним статуса залогового кредитора по требованию в размере 111 219 975 рублей 72 копейки, ранее включённому в реестр требований кредиторов должника определением Арбитражного суда Оренбургской области от 16.01.2019. Определением Арбитражного суда Оренбургской области от 13.05.2019 в удовлетворении заявления отказано. Постановлением Восемнадцатого арбитражного апелляционного суда от 01.08.2019, оставленным без изменения постановлением Арбитражного суда Уральского округа от 31.10.2019,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признавая за обществом статус залогового кредитора, апелляционный суд, руководствуясь статьёй 339 Гражданского кодекса Российской Федерации, статьями 11, 19, 45 Федерального закона от 16.07.1998 № 102-ФЗ «Об ипотеке (залоге недвижимости)», пунктом 3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исходил из фактических обстоятельств, связанных с нахождением указанного лица в процедуре банкротства (конкурсного производства), возникших в связи с этим сложностями по своевременному предоставлению им соответствующих правоустанавливающих документов, состоявшейся государственной регистрации перехода права залога в пользу указанного лица, а также недоказанности выбытия залогового имущества или прекращения права залога по иным основаниям.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«Оренбургский аукционный дом»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