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22.04.2019, оставленным без изменения постановлением Девятого арбитражного апелляционного суда от 24.07.2019, в удовлетворении исковых требований отказано. Арбитражный суд Московского округа постановлением от 22.10.2019 решение от 22.04.2019 и постановление Девятого арбитражного апелляционного суда от 24.07.2019 оставил без изменения. В кассационной жалобе общество просит об отмене судебных актов, ссылаясь на игнорирование судебной практики разрешения споров по независимой гарантии в отношении определения момента начала срока действия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момент вступления в силу банковской гарантии определен в ней и общество, приняв гарантию в качестве обеспечения исполнения контракта, было осведомлено о ее содержании. В такой ситуации у судов не имелось основания для установления иного момента начала срока действия гарантии.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 судоремонта «Звездочка»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"ЦЕНТР СУДОРЕМОНТА "ЗВЕЗДОЧКА" (подробнее) Ответчики: АО Коммерческий банк "ИНТЕРПРОМБАНК"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