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«Коммерческий банк «Кредит Экспресс» обратилось в арбитражный суд Ростовской области с иском, уточненным в порядке статьи 49 Арбитражного процессуального кодекса Российской Федерации (далее – АПК РФ), к ФИО1 о взыскании 10 383 717 рублей 32 копеек убытков. Вступившим в законную силу решением Арбитражного суда Ростовской области от 21.06.2017 иск удовлетворен полностью. ФИО1 обратился в Арбитражный суд Ростовской области с заявлением о пересмотре решения от 21.06.2017 по новым обстоятельствам. Определением Арбитражного суда Ростовской области от 16.05.2019, оставленным без изменения постановлением Пятнадцатого арбитражного апелляционного суда от 03.07.2019 и постановлением Арбитражного суда Северо- Кавказского округа от 17.09.2019, в удовлетворении заявления о пересмотре решения суда первой инстанции от 21.06.2017 по новым обстоятельствам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Поскольку ходатайство о восстановлении пропущенного процессуального срока заявлено ФИО1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Учитывая изложенное, суд полагает возможным восстановить срок подачи кассационных жалоб.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ФИО1. Срок подачи кассационной жалобы на определение Арбитражного суда Ростовской области от 16.05.2019, постановление Пятнадцатого арбитражного апелляционного суда от 03.07.2019 и постановление Арбитражного суда Северо- Кавказского округа от 17.09.2019 по делу № А53-2579/2017 восстановить. Судья Верховного Суда Российской Федерации Н.С. Чучунова Суд: Верховный Суд РФ (подробнее) Истцы: Государственная корпорация Агентство по стахованию вкладов конкурсный управляющий ООО КБ Кредит Экспресс (подробнее) ООО КОММЕРЧЕСКИЙ БАНК "КРЕДИТ ЭКСПРЕСС" (подробнее) Судьи дела: Чучунова Н.С. (судья) (подробнее) Последние документы по делу: Определение от 13 августа 2020 г. по делу № А53-2579/2017 Определение от 25 февраля 2020 г. по делу № А53-2579/2017 Определение от 30 декабря 2019 г. по делу № А53-2579/2017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