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04.02.2019, оставленным без изменения постановлением Девятого арбитражного апелляционного суда от 07.06.2019, иск удовлетворен. Арбитражный суд Московского округа постановлением от 22.11.2019 решение от 04.02.2019 и постановление Девятого арбитражного апелляционного суда от 07.06.2019 оставил без изменения. В кассационной жалобе Федеральная служба исполнения наказаний просит об отмене указанных судебных актов вследствие удовлетворения требования к субсидиарному должнику в отсутствие доказательств невозможности исполнения основным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отсутствии доказательств недостаточности у учреждения денежных средств для самостоятельного исполнения судебного акта опровергается установленными судами обстоятельствами исполнения, поэтому рассматриваемый иск удовлетворен в соответствии со статьями 120 , 399 Гражданского кодекса Российской Федерации и статьей 158 Бюджетного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Веть (подробнее) Ответчики: Федеральная Служба исполнения наказаний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