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28.05.2019, оставленным без изменения постановлением Восьмого арбитражного апелляционного суда от 26.08.2019, с общества взыскано 41 514 073 рубля 60 копеек убытков в виде стоимости восстановительного ремонта, 2 476 486 рублей 65 копеек убытков в виде стоимости утраченного имущества, 4 910 000 рублей задолженности по арендной плате, 2 272 277 рублей 42 копеек неустойки за несвоевременную уплату арендных платежей и 38 271 рубль 03 копеек расходов на экспертизу; со страховой компании – 66 372 902 рубля 76 копеек страхового возмещения и 50 309 рублей 97 копеек расходов на экспертизу. Арбитражный суд Западно-Сибирского округа постановлением от 10.12.2019 решение от 28.05.2019 и постановление Восьмого арбитражного апелляционного суда от 26.08.2019 оставил без изменения. В кассационных жалобах страховая компания и общество просят об отмене судебных актов, ссылаясь на неверное толкование условий договора страхования о дополнительной безусловной франшизе, неустановление необходимых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Согласно статьям 421, 431, 943 Гражданского кодекса Российской Федерации стороны свободны в согласовании условий договора добровольного страхования имущества. Исследовав обстоятельства спора, суды установили в отношении франшизы преимущество условий полиса над условиями Правил. Суды, руководствуясь статьями 15 и 393 Гражданского кодекса Российской Федерации, установили наличие необходимых условий для взыскания с общества «Рич Фэмили» убытков вследствие ненадлежащего исполнения договора аренды. Требуемая обществом ревизия оценки обстоятельств дела не составляют оснований для пересмотра судебных актов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и обществу с ограниченной ответственностью «Рич Фэмили»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