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13.03.2019, оставленным без изменения постановлением Восемнадцатого арбитражного апелляционного суда от 17.06.2019 и постановлением Арбитражного суда Уральского округа от 22.10.2019, первоначальный и встречный иски удовлетворены частично. В результате произведенного зачета удовлетворенных требований с общества «Пермтрансжелезобетон» в пользу общества «ТД «ЦентрМеталлИнвест» взыскано 976 427 рублей 73 копейки неустойки. В кассационной жалобе общество ТД «ЦентрМеталлИнвест» просит о пересмотре судебных актов в неудовлетворенной части первоначального иска, ссылаясь на неверное определение периода и размера подлежащей взысканию неустойки вследствие принятия судами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исполнения договора поставки продукции от 11.04.2017 № 110417/1, суды установили нарушение ответчиком (покупателем) сроков оплаты поставленного товара, влекущее взыскание договорной неустойки в соответствии с дополнительным соглашением от 27.10.2017 № 1 к договору, определяющим период начисления неустойки, и удовлетворили иск на основании статей 330 , 331 , 506 , 516 Гражданского кодекса Российской Федерации. Довод о том, что дополнительное соглашение заключено не в согласованном договором порядке и не является надлежащим доказательством, исследован судами, признавшим за соглашением юридическую силу. Этот довод на стадии кассационного производства не создает основания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«ЦентрМеталлИнвест»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ТОРГОВЫЙ ДОМ "ЦЕНТРМЕТАЛЛИНВЕСТ" (подробнее) Ответчики: АО "ПЕРМТРАНСЖЕЛЕЗОБЕТОН"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