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04.06.2019, оставленным без изменения постановлением Восемнадцатого арбитражного апелляционного суда от 28.08.2019, иск удовлетворен. Арбитражный суд Уральского округа постановлением от 26.11.2019 решение от 04.06.2019 и постановление Восемнадцатого арбитражного апелляционного суда от 28.08.2019 оставил без изменения. В кассационной жалобе предприниматель просит об отмене судебных актов вследствие отсутствия у учреждения полномочий на взыскание убытков за вред, причиненный дороге, проходящей по территории двух субъектов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в связи с возражением предпринимателя установлено, что предъявлением рассматриваемого иска учреждение осуществляет компетенцию, возложенную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отношении находящейся в его оперативном управлении региональной дороги, на которой допущено вмененное предпринимателю нарушение.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"Главное управление дорожного хозяйства Оренбургской области" (подробнее) Ответчики: ИП Жульмухамедов Ренат Тойбазарович (подробнее) ИП Жульмухамедов Р.Т. (подробнее) Иные лица: МИФНС №9 по Оренбургской области (подробнее) Управление ГИБДД УМВД РФ по Оренбургской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