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21.12.2018 в отношении должника завершено конкурсное производство. Арбитражный управляющий ФИО1 обратилась в суд с ходатайством о взыскании вознаграждения конкурсного управляющего должником и судебных расходов. Определением Арбитражного суда города Москвы от 10.06.2019, оставленным без изменения постановлениями Девятого арбитражного апелляционного суда от 19.08.2019 и Арбитражного суда Московского округа от 12.11.2019, ходатайство удовлетворено частично. С общества как заявителя по делу о банкротстве в пользу арбитражного управляющего взыскано 1 200 000 рублей фиксированного вознаграждения и 194 361 рубль 93 копейки судебных расходов. В кассационной жалобе, поданной в Верховный Суд Российской Федерации, заявитель просит изменить указанные судебные акты в части установления размера фиксированного вознаграждения и принять в указанной части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129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фактических обстоятельств, связанных с отсутствием жалоб на действия арбитражного управляющего, обоснованностью предъявленных обществом претензий к его работе, в том числе имевшем место формальном нарушении с его стороны требований законодательства о банкротстве, в связи с чем пришли к выводу о наличии оснований для снижения размера фиксированного вознаграждения до 1 200 000 рублей.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«Лысьва- теплоэнерго»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РФ №23 по ЮВАО г. Москвы (подробнее) МУП МУНИЦИПАЛЬНОГО ОБРАЗОВАНИЯ "ЛЫСЬВЕНСКИЙ ГОРОДСКОЙ ОКРУГ""ТЕПЛОЭНЕРГОРЕМОНТ" (подробнее) ООО К/к "ПКФ "Беркана" Фрезе С.В. (подробнее) ООО ЛМЗ-Энерго (подробнее) ООО Лысьва Теплоэнерго (подробнее) ООО "ЛЫСЬВА-ТЕПЛОЭНЕРГО" (подробнее) ФНС в лице ИФНС №23 (подробнее) Ответчики: ООО К/у "ПКФ Беркана" Фрезе С.В (подробнее) ООО ПКФ Беркана (подробнее) Иные лица: ООО "Лысьва - теплоэнерго"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