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21.03.2019, оставленным без изменения постановлением Девятого арбитражного апелляционного суда от 19.06.2019, в удовлетворении иска отказано. Арбитражный суд Московского округа постановлением от 31.10.2019 решение от 21.03.2019 и постановление Девятого арбитражного апелляционного суда от 19.06.2019 оставил без изменения. В кассационной жалобе общество просит об отмене судебных актов, ссылаясь на неправомерное одностороннее изменение тарифов на услуги, представление ненадлежащих доказательств в обоснование возражений.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действия банка по удержанию комиссии соответствуют договору банковского счета, позволяющему в одностороннем порядке изменять размер тарифа и уведомлять об изменении тарифа посредством размещения информации на сайте, и составляющим условия договора Правилам комплексного банковского обслуживания и Тарифам. В такой ситуации удержанная комиссия правомерно признана не обладающей признаками неосновательного обогащения.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«Кубаньстройтранспорт»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"КУБАНЬСТРОЙТРАНСПОРТ" (подробнее) Ответчики: ПАО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