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27.06.2018, оставленным без изменения постановлением Девятого арбитражного апелляционного суда от 17.09.2018, иск удовлетворен. Арбитражный суд Московского округа постановлением от 06.12.2018 решение от 27.06.2018 и постановление Девятого арбитражного апелляционного суда от 17.09.2018 оставил без изменения. В кассационной жалобе компания просит об отмене указанных судебных актов как незаконных вследствие неправомерного расчета убытков за период с августа по декабрь 2015 года и их необоснованности.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Вопросы, связанные с размером требований и оценкой доказательств, разрешены судами в соответствии с компетенцией и не составляют указанных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«ВТБ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"Правдинское Свино Производство" (подробнее) Ответчики: ООО СК "ВТБ Страхование" (подробнее) ООО Страховая компания "ВТБ Страхование" (подробнее) Судьи дела: Ксенофонтова Н.А. (судья) Последние документы по делу: Определение от 25 февраля 2020 г. по делу № А40-18806/2018 Определение от 11 февраля 2019 г. по делу № А40-18806/2018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