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14.05.2019 в удовлетворении исковых требований отказано.Постановлением Девятого арбитражного апелляционного суда от 14.08.2019, оставленным без изменения постановлением Арбитражного суда Московского округа от 14.11.2019, решение суда первой инстанции отменено, исковые требования удовлетворены. В кассационной жалобе, поданной в Верховный Суд Российской Федерации, общество «Статус», ссылаясь на нарушение судами апелляционной инстанции и округа норм права, просит отменить указанные судебные акты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720 , 743 , 746 , 753 Гражданского кодекса Российской Федерации, суд апелляционной инстанции пришел к выводу о наличии оснований для удовлетворения исковых требований, исходя из подтвержденности факта выполнения компанией работ и отсутствия доказательств их полной оплаты. С указанными выводами впоследствии согласился суд округа.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по существу направлены на переоценку фактических обстоятельств данного дела, что не входит в компетенцию Судебной коллегии по экономическим спорам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«КАШИРСКИЙ МОЛЛ»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"Высотник" (подробнее) Ответчики: АО "Каширский Молл"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