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16.04.2019, оставленным без изменения постановлением Девятого арбитражного апелляционного суда от 16.07.2019 и постановлением Арбитражного суда Московского округа от 22.10.2019, в иске отказано. В кассационной жалобе корпорация просит отменить судебные акты как основанные на неправильном толковании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по представленным доказательствам обстоятельства исполнения сторонами государственного контракта от 06.10.2016 № 851-2151/16/147, суды установили сдачу обществом работ по этапам в согласованные сроки, поэтому отказали в применении ответственности в соответствии со статьями 309 , 310 , 330 Гражданского кодекса Российской Федерации. Довод корпорации о неправильном толковании контракта, предусматривающего в качестве срока исполнения обязательства принятие работы, оценен судами в пределах компетенции и признан не влияющим на вывод о надлежащем исполнении обязательств обществом.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корпорации по космической деятельности «Роскосмос»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ГК по космической деятельности "Роскосмос" (подробнее) Ответчики: ФГУП "Центральный научно-исследовательский институт машиностроения"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