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16.04.2019, оставленным без изменения постановлением Девятого арбитражного апелляционного суда от 05.08.2019 и постановлением Арбитражного суда Московского округа от 12.11.2019, иск удовлетворен. В кассационной жалобе общество «Щекиноазот» просит об отмене судебных актов как не соответствующих обстоятельствам исполнения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согласование сторонами в договоре от 07.05.2018 № 54/2018 условия об ответственности заказчика (ответчика) за простой крана и наступление обстоятельств для применения ответственности, поэтому удовлетворили иск в соответствии с договором и со статьями 330 , 779 , 781 Гражданского кодекса Российской Федерации. Довод заявителя о недоказанности простоя противоречит установленным судами обстоятельствам.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«Щекиноазот»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 Кран" (подробнее) Ответчики: ОАО "Щекиноазот"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