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24.05.2019, оставленным без изменения постановлением Девятого арбитражного апелляционного суда от 31.07.2019 и постановлением Арбитражного суда Московского округа от 25.10.2019, в иске отказано. В кассационной жалобе общество «ИПС» просит о пересмотре судебных актов как незаконных, ссылаясь на неправильное применение к спорным правоотношениям норм о подряде, неосновательное освобождение от ответственности за повреждение груза.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рассмотрели спор как возникший из договора транспортной экспедиции и применили регулирующие это вид обязательства нормы права (статьи 801 , 803 Гражданского кодекса Российской Федерации, Федеральный закон от 30.06.2003 № 87-ФЗ «О транспортно-экспедиционной деятельности»). Основанием к освобождению экспедитора (ответчика) от обязанности возмещения убытков явилась приемка груза, не позволившая установить повреждение его при перевозке.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«ИПС»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"ИПС" (подробнее) Ответчики: ООО "Мэйджор Экспресс"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