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и кредитор – государственное унитарное предприятие «Мосэкострой» обратились в суд с заявлениями о привлечении к субсидиарной ответственности по обязательствам должника следующих лиц: обществ с ограниченной ответственностью «Бавариус ГМБХ», «Венский Дом», «Венский Кофейный Дом», «Австрийские финансовые партнеры – Руссланд» и Насибулина Альберта Равильевича, председателя Правления банка ФИО2, заместителей председателя Правления банка ФИО3 и ФИО4, главного бухгалтера ФИО1, фактического руководителя ФИО5, начальника службы безопасности ФИО6, прочих сотрудников банка: ФИО7, ФИО8, ФИО9, ФИО10, ФИО11 и ФИО12. Определением Арбитражного суда города Москвы от 19.04.2019, оставленным без изменения постановлениями Девятого арбитражного апелляционного суда от 22.08.2019 и Арбитражного суда Московского округа от 02.12.2019, заявления удовлетворены в части. ФИО2, ФИО13 и ФИО14 привлечены к субсидиарной ответственности по обязательствам должника, с указанных лиц солидарно пользу последнего взыскано 249 000 061 рублей;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части привлечения её к субсидиарной ответственности и взыскания с неё в пользу должника денежных средств,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ФИО1, будучи членом Правления и главным бухгалтером банка непосредственно участвовавшей в заседаниях кредитного комитета, подписывавшей договоры на выдачу заведомо невозвратных (технических) кредитов, и, невзирая на осведомлённость о фиктивности протоколов комитета, проявившей бездействие по не информированию об указанных обстоятельствах других членов комитета и (или) акционеров банка.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ГК "Агентство по страхованию вкладов" (подробнее) ОАО "НЕФТО-СЕРВИС" (подробнее) ООО КБ "Инстройбанк"-в лице к/у ГК "АСВ" (подробнее) ООО "Моспроммаш" (подробнее) Ответчики: ООО КБ "ИКФ" (подробнее) ООО КБ "ИстКом-Финанс" (подробнее) Иные лица: ГК "АСВ" (подробнее) К/у ООО КБ "ИстКом-Финанс" ГК ""АСВ (подробнее) ООО "Австрийские финансовые партнеры - Руссланд" (подробнее) ООО "Венский Дом" (подробнее) ООО "Венский Кофейный Дом" (подробнее) ООО Кб "инстройбанк"-в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