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его кредитор – акционерное общество «Акционерный коммерческий банк «Банк на Красных Воротах» в лице конкурсного управляющего – государственной корпорации «Агентство по страхованию вкладов» обратилось в суд с заявлением о разрешении разногласий по внесению изменений в Положение о порядке, сроках и условиях продажи имущества должника, утверждённого определением от 26.09.2018 по настоящему делу. Определением Арбитражного суда города Москвы от 04.06.2019, оставленным без изменения постановлением Девятого арбитражного апелляционного суда от 06.08.2019, утверждены изменения в Положение о порядке, сроках и условиях продажи залогового имущества в редакции конкурсного управляющего. Постановлением Арбитражного суда Московского округа от 30.10.2019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новое рассмотрение, суд округа, руководствуясь статьёй 446 Гражданского процессуального кодекса Российской Федерации, статьями 18.1, 110, 111, 138, 139 Федерального закона от 26.10.2002 № 127-ФЗ «О несостоятельности (банкротстве)», исходил из того, что принятые по нему судебные акты вынесены без полного исследования всех доказательств и фактических обстоятельств, имеющих существенное значение для правильного разрешения спора, а также вне проверки доводов кредитора.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«Железная гора» Кузьменко Антону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