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08.02.2019, оставленным без изменения постановлением Третьего арбитражного апелляционного суда от 29.07.2019, иск удовлетворен. Арбитражный суд Восточно-Сибирского округа постановлением от 24.10.2019 решение от 08.02.2019 и постановление Третьего арбитражного апелляционного суда от 29.07.2019 оставил без изменения. В кассационной жалобе компания просит об отмене указанных судебных актов, ссылаясь на несоответствие выводов судов обстоятельствам дорожно- транспортного происшествия.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в силу статей 15 , 1064 Гражданского кодекса Российской Федерации условия для взыскания заявленных убытков, установлены судами в пределах компетенции.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«Красноярская дорожно-строительная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"Страховая акционерная компания "ЭНЕРГОГАРАНТ" (подробнее) Ответчики: ООО "КРАСНОЯРСКАЯ ДОРОЖНО-СТРОИТЕЛЬНАЯ КОМПАНИЯ" (подробнее) Иные лица: Емельяновский районный суд Кк (подробнее) Межрайонная инспекция Федеральной налоговой службы №23 по Красноярскому краю (подробнее) ОГИБДД МУ МВД Красноярское (подробнее) ОГИБДД по Емельяновскому району (подробнее) ООО ЦПОиЭ "Движение" (подробнее) Управление по вопросаам миграции по КК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